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E0" w:rsidRDefault="003677E5">
      <w:r>
        <w:rPr>
          <w:noProof/>
          <w:lang w:eastAsia="fr-FR"/>
        </w:rPr>
        <w:pict>
          <v:oval id="_x0000_s1070" style="position:absolute;margin-left:593.05pt;margin-top:-8.7pt;width:96.15pt;height:82.2pt;z-index:251657212">
            <v:textbox style="mso-next-textbox:#_x0000_s1070">
              <w:txbxContent>
                <w:p w:rsidR="002A7377" w:rsidRPr="0004150C" w:rsidRDefault="00F25898" w:rsidP="002A737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</w:t>
                  </w:r>
                  <w:r w:rsidR="002A7377">
                    <w:rPr>
                      <w:sz w:val="22"/>
                    </w:rPr>
                    <w:t>raitement anti rejet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8" style="position:absolute;margin-left:446.3pt;margin-top:-8.7pt;width:155.85pt;height:111.6pt;z-index:251698176" fillcolor="#cff" strokeweight="3pt">
            <v:textbox style="mso-next-textbox:#_x0000_s1068">
              <w:txbxContent>
                <w:p w:rsidR="00DA689C" w:rsidRDefault="00DA689C" w:rsidP="00E44D9C">
                  <w:pPr>
                    <w:rPr>
                      <w:b/>
                      <w:szCs w:val="24"/>
                    </w:rPr>
                  </w:pPr>
                </w:p>
                <w:p w:rsidR="00E44D9C" w:rsidRPr="00F25898" w:rsidRDefault="00E44D9C" w:rsidP="00DA689C">
                  <w:pPr>
                    <w:rPr>
                      <w:b/>
                      <w:szCs w:val="24"/>
                    </w:rPr>
                  </w:pPr>
                  <w:r w:rsidRPr="00F25898">
                    <w:rPr>
                      <w:b/>
                      <w:szCs w:val="24"/>
                    </w:rPr>
                    <w:t xml:space="preserve">Transplantation 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75.7pt;margin-top:102.45pt;width:25.35pt;height:107.25pt;flip:y;z-index:251699200" o:connectortype="straight" strokeweight="4pt">
            <v:stroke endarrow="block"/>
          </v:shape>
        </w:pict>
      </w:r>
      <w:r>
        <w:rPr>
          <w:noProof/>
          <w:lang w:eastAsia="fr-FR"/>
        </w:rPr>
        <w:pict>
          <v:oval id="_x0000_s1052" style="position:absolute;margin-left:615.65pt;margin-top:126.45pt;width:123.8pt;height:116.6pt;z-index:251682816">
            <v:textbox style="mso-next-textbox:#_x0000_s1052">
              <w:txbxContent>
                <w:p w:rsidR="00D97608" w:rsidRDefault="0004150C" w:rsidP="0004150C">
                  <w:pPr>
                    <w:jc w:val="center"/>
                    <w:rPr>
                      <w:sz w:val="22"/>
                    </w:rPr>
                  </w:pPr>
                  <w:r w:rsidRPr="008C3BEE">
                    <w:rPr>
                      <w:szCs w:val="24"/>
                    </w:rPr>
                    <w:t>Défaut de maturation du CFTR :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04150C" w:rsidRPr="008C3BEE" w:rsidRDefault="00D97608" w:rsidP="0004150C">
                  <w:pPr>
                    <w:jc w:val="center"/>
                    <w:rPr>
                      <w:color w:val="00B0F0"/>
                      <w:sz w:val="22"/>
                    </w:rPr>
                  </w:pPr>
                  <w:r>
                    <w:rPr>
                      <w:sz w:val="22"/>
                    </w:rPr>
                    <w:t xml:space="preserve">Ex </w:t>
                  </w:r>
                  <w:r w:rsidR="0004150C" w:rsidRPr="008C3BEE">
                    <w:rPr>
                      <w:color w:val="00B0F0"/>
                      <w:szCs w:val="24"/>
                    </w:rPr>
                    <w:t>Orkambi</w:t>
                  </w:r>
                  <w:r w:rsidR="0004150C" w:rsidRPr="008C3BEE">
                    <w:rPr>
                      <w:rFonts w:cs="Tahoma"/>
                      <w:color w:val="00B0F0"/>
                      <w:szCs w:val="24"/>
                    </w:rPr>
                    <w:t>®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7" style="position:absolute;margin-left:752.5pt;margin-top:203.9pt;width:58.35pt;height:56.8pt;z-index:251658237">
            <v:textbox style="mso-next-textbox:#_x0000_s1067">
              <w:txbxContent>
                <w:p w:rsidR="00A16C57" w:rsidRPr="008C3BEE" w:rsidRDefault="00A16C57" w:rsidP="00A16C57">
                  <w:pPr>
                    <w:jc w:val="center"/>
                    <w:rPr>
                      <w:color w:val="00B0F0"/>
                      <w:sz w:val="22"/>
                    </w:rPr>
                  </w:pPr>
                  <w:r>
                    <w:rPr>
                      <w:szCs w:val="24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6" style="position:absolute;margin-left:12.05pt;margin-top:79.4pt;width:57.2pt;height:57.25pt;z-index:251654137">
            <v:textbox style="mso-next-textbox:#_x0000_s1066">
              <w:txbxContent>
                <w:p w:rsidR="00A16C57" w:rsidRDefault="00A16C57" w:rsidP="00A16C57">
                  <w:r>
                    <w:t>…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6" style="position:absolute;margin-left:716.5pt;margin-top:486.2pt;width:57.55pt;height:55.75pt;z-index:251655162">
            <v:textbox style="mso-next-textbox:#_x0000_s1076">
              <w:txbxContent>
                <w:p w:rsidR="002E2711" w:rsidRPr="0004150C" w:rsidRDefault="002E2711" w:rsidP="002E271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4" style="position:absolute;margin-left:752.5pt;margin-top:33.35pt;width:58.35pt;height:55.75pt;z-index:251706368">
            <v:textbox style="mso-next-textbox:#_x0000_s1074">
              <w:txbxContent>
                <w:p w:rsidR="00F25898" w:rsidRPr="0004150C" w:rsidRDefault="00F25898" w:rsidP="00F2589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1" style="position:absolute;margin-left:593.05pt;margin-top:439.65pt;width:146.4pt;height:105.65pt;z-index:251671552">
            <v:textbox style="mso-next-textbox:#_x0000_s1041">
              <w:txbxContent>
                <w:p w:rsidR="00124B6F" w:rsidRDefault="00167567" w:rsidP="00124B6F">
                  <w:pPr>
                    <w:rPr>
                      <w:b/>
                    </w:rPr>
                  </w:pPr>
                  <w:r w:rsidRPr="00C72736">
                    <w:rPr>
                      <w:b/>
                    </w:rPr>
                    <w:t>Thérapie génique</w:t>
                  </w:r>
                  <w:r w:rsidR="00124B6F">
                    <w:rPr>
                      <w:b/>
                    </w:rPr>
                    <w:t> </w:t>
                  </w:r>
                </w:p>
                <w:p w:rsidR="00167567" w:rsidRPr="00124B6F" w:rsidRDefault="00124B6F" w:rsidP="00124B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(Remplacer le gène dé</w:t>
                  </w:r>
                  <w:r w:rsidRPr="00124B6F">
                    <w:rPr>
                      <w:b/>
                      <w:sz w:val="20"/>
                      <w:szCs w:val="20"/>
                    </w:rPr>
                    <w:t>fectueux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  <w:r w:rsidRPr="00124B6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2" style="position:absolute;margin-left:566.5pt;margin-top:326.5pt;width:122.7pt;height:95pt;z-index:251672576">
            <v:textbox style="mso-next-textbox:#_x0000_s1042">
              <w:txbxContent>
                <w:p w:rsidR="00167567" w:rsidRPr="009D3029" w:rsidRDefault="00167567" w:rsidP="00052E01">
                  <w:pPr>
                    <w:jc w:val="center"/>
                    <w:rPr>
                      <w:b/>
                      <w:szCs w:val="24"/>
                    </w:rPr>
                  </w:pPr>
                  <w:r w:rsidRPr="009D3029">
                    <w:rPr>
                      <w:b/>
                      <w:szCs w:val="24"/>
                    </w:rPr>
                    <w:t xml:space="preserve">Thérapie de la </w:t>
                  </w:r>
                  <w:r w:rsidR="00D455BF" w:rsidRPr="009D3029">
                    <w:rPr>
                      <w:b/>
                      <w:szCs w:val="24"/>
                    </w:rPr>
                    <w:t>protéine</w:t>
                  </w:r>
                  <w:r w:rsidR="00052E01" w:rsidRPr="009D3029">
                    <w:rPr>
                      <w:b/>
                      <w:szCs w:val="24"/>
                    </w:rPr>
                    <w:t xml:space="preserve"> CFTR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0" style="position:absolute;margin-left:561pt;margin-top:218.8pt;width:128.2pt;height:125.8pt;z-index:251670528">
            <v:textbox style="mso-next-textbox:#_x0000_s1040">
              <w:txbxContent>
                <w:p w:rsidR="00D97608" w:rsidRDefault="00052E01" w:rsidP="00642B32">
                  <w:pPr>
                    <w:jc w:val="center"/>
                    <w:rPr>
                      <w:szCs w:val="24"/>
                    </w:rPr>
                  </w:pPr>
                  <w:r w:rsidRPr="008C3BEE">
                    <w:rPr>
                      <w:szCs w:val="24"/>
                    </w:rPr>
                    <w:t>Défaut de synthèse du</w:t>
                  </w:r>
                  <w:r w:rsidR="00167567" w:rsidRPr="008C3BEE">
                    <w:rPr>
                      <w:szCs w:val="24"/>
                    </w:rPr>
                    <w:t xml:space="preserve"> CFTR : </w:t>
                  </w:r>
                </w:p>
                <w:p w:rsidR="00167567" w:rsidRPr="008C3BEE" w:rsidRDefault="00D97608" w:rsidP="00642B3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Ex : </w:t>
                  </w:r>
                  <w:r w:rsidR="00167567" w:rsidRPr="008C3BEE">
                    <w:rPr>
                      <w:color w:val="00B0F0"/>
                      <w:szCs w:val="24"/>
                    </w:rPr>
                    <w:t>Ataluren</w:t>
                  </w:r>
                  <w:r w:rsidR="00642B32" w:rsidRPr="008C3BEE">
                    <w:rPr>
                      <w:color w:val="00B0F0"/>
                      <w:szCs w:val="24"/>
                    </w:rPr>
                    <w:t xml:space="preserve"> PTC 124</w:t>
                  </w:r>
                  <w:r w:rsidR="00052E01" w:rsidRPr="008C3BEE">
                    <w:rPr>
                      <w:rFonts w:cs="Tahoma"/>
                      <w:color w:val="00B0F0"/>
                      <w:szCs w:val="24"/>
                    </w:rPr>
                    <w:t>®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9" style="position:absolute;margin-left:286.55pt;margin-top:79.4pt;width:97.5pt;height:98.2pt;z-index:251694080">
            <v:textbox style="mso-next-textbox:#_x0000_s1039">
              <w:txbxContent>
                <w:p w:rsidR="0004150C" w:rsidRDefault="0004150C"/>
                <w:p w:rsidR="009D3029" w:rsidRDefault="009D3029" w:rsidP="009D3029">
                  <w:r>
                    <w:t>Art-thérapie</w:t>
                  </w:r>
                </w:p>
                <w:p w:rsidR="003376F4" w:rsidRDefault="003376F4"/>
              </w:txbxContent>
            </v:textbox>
          </v:oval>
        </w:pict>
      </w:r>
      <w:r>
        <w:rPr>
          <w:noProof/>
          <w:lang w:eastAsia="fr-FR"/>
        </w:rPr>
        <w:pict>
          <v:oval id="_x0000_s1073" style="position:absolute;margin-left:-5.55pt;margin-top:107.1pt;width:105.35pt;height:102.6pt;z-index:251656187">
            <v:textbox style="mso-next-textbox:#_x0000_s1073">
              <w:txbxContent>
                <w:p w:rsidR="002A7377" w:rsidRDefault="002A7377" w:rsidP="002A7377"/>
                <w:p w:rsidR="002A7377" w:rsidRDefault="002A7377" w:rsidP="002A7377">
                  <w:r>
                    <w:t>Sociologie</w:t>
                  </w:r>
                  <w:r w:rsidR="001104B0">
                    <w:t xml:space="preserve"> de</w:t>
                  </w:r>
                  <w:r>
                    <w:t> </w:t>
                  </w:r>
                  <w:r w:rsidR="001104B0">
                    <w:t xml:space="preserve"> </w:t>
                  </w:r>
                  <w:r>
                    <w:t xml:space="preserve"> la famille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47" type="#_x0000_t32" style="position:absolute;margin-left:475.7pt;margin-top:331.95pt;width:29.1pt;height:33.65pt;z-index:251677696" o:connectortype="straight" strokeweight="4pt">
            <v:stroke endarrow="block"/>
          </v:shape>
        </w:pict>
      </w:r>
      <w:r>
        <w:rPr>
          <w:noProof/>
          <w:lang w:eastAsia="fr-FR"/>
        </w:rPr>
        <w:pict>
          <v:shape id="_x0000_s1048" type="#_x0000_t32" style="position:absolute;margin-left:259.55pt;margin-top:272.7pt;width:47.25pt;height:6.7pt;flip:x;z-index:251678720" o:connectortype="straight" strokeweight="4pt">
            <v:stroke endarrow="block"/>
          </v:shape>
        </w:pict>
      </w:r>
      <w:r>
        <w:rPr>
          <w:noProof/>
          <w:lang w:eastAsia="fr-FR"/>
        </w:rPr>
        <w:pict>
          <v:oval id="_x0000_s1045" style="position:absolute;margin-left:96.75pt;margin-top:213.4pt;width:153.8pt;height:135.05pt;z-index:251675648" fillcolor="#cff" strokeweight="3pt">
            <v:textbox style="mso-next-textbox:#_x0000_s1045">
              <w:txbxContent>
                <w:p w:rsidR="00FF3BFF" w:rsidRDefault="00FF3BFF" w:rsidP="003376F4">
                  <w:pPr>
                    <w:jc w:val="center"/>
                    <w:rPr>
                      <w:b/>
                    </w:rPr>
                  </w:pPr>
                </w:p>
                <w:p w:rsidR="003376F4" w:rsidRPr="00C72736" w:rsidRDefault="003376F4" w:rsidP="003376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Thérapies ciblant les symptômes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1" style="position:absolute;margin-left:536.75pt;margin-top:45.2pt;width:108.35pt;height:91.45pt;z-index:251708416">
            <v:textbox style="mso-next-textbox:#_x0000_s1071">
              <w:txbxContent>
                <w:p w:rsidR="00F25898" w:rsidRDefault="00F25898" w:rsidP="002A7377">
                  <w:pPr>
                    <w:jc w:val="center"/>
                    <w:rPr>
                      <w:sz w:val="22"/>
                    </w:rPr>
                  </w:pPr>
                </w:p>
                <w:p w:rsidR="002A7377" w:rsidRPr="0004150C" w:rsidRDefault="002A7377" w:rsidP="002A737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Réhabilitation des greffons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8" style="position:absolute;margin-left:433.15pt;margin-top:372.85pt;width:198.05pt;height:151.85pt;z-index:251668480" fillcolor="#cff" strokeweight="3pt">
            <v:textbox style="mso-next-textbox:#_x0000_s1038">
              <w:txbxContent>
                <w:p w:rsidR="00FF3BFF" w:rsidRDefault="00FF3BFF" w:rsidP="00C72736">
                  <w:pPr>
                    <w:jc w:val="center"/>
                    <w:rPr>
                      <w:b/>
                    </w:rPr>
                  </w:pPr>
                </w:p>
                <w:p w:rsidR="00FF3BFF" w:rsidRDefault="00FF3BFF" w:rsidP="00C72736">
                  <w:pPr>
                    <w:jc w:val="center"/>
                    <w:rPr>
                      <w:b/>
                    </w:rPr>
                  </w:pPr>
                </w:p>
                <w:p w:rsidR="00167567" w:rsidRPr="00C72736" w:rsidRDefault="00167567" w:rsidP="00C72736">
                  <w:pPr>
                    <w:jc w:val="center"/>
                    <w:rPr>
                      <w:b/>
                    </w:rPr>
                  </w:pPr>
                  <w:r w:rsidRPr="00C72736">
                    <w:rPr>
                      <w:b/>
                    </w:rPr>
                    <w:t>Thérapies ciblant la cause de la maladie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3" style="position:absolute;margin-left:673.7pt;margin-top:239.8pt;width:131.35pt;height:118.1pt;z-index:251673600">
            <v:textbox style="mso-next-textbox:#_x0000_s1043">
              <w:txbxContent>
                <w:p w:rsidR="008C3BEE" w:rsidRPr="008C3BEE" w:rsidRDefault="00FF3BFF">
                  <w:pPr>
                    <w:rPr>
                      <w:color w:val="00B0F0"/>
                    </w:rPr>
                  </w:pPr>
                  <w:r w:rsidRPr="008C3BEE">
                    <w:t>Défaut</w:t>
                  </w:r>
                  <w:r w:rsidR="008C3BEE" w:rsidRPr="008C3BEE">
                    <w:t xml:space="preserve"> d’activation du CFTR :</w:t>
                  </w:r>
                  <w:r w:rsidR="008C3BEE" w:rsidRPr="008C3BEE">
                    <w:rPr>
                      <w:color w:val="00B0F0"/>
                    </w:rPr>
                    <w:t xml:space="preserve"> </w:t>
                  </w:r>
                  <w:r w:rsidR="00C35ECA">
                    <w:rPr>
                      <w:color w:val="00B0F0"/>
                    </w:rPr>
                    <w:t xml:space="preserve">Ex : </w:t>
                  </w:r>
                  <w:r w:rsidR="008C3BEE" w:rsidRPr="008C3BEE">
                    <w:rPr>
                      <w:color w:val="00B0F0"/>
                      <w:szCs w:val="24"/>
                    </w:rPr>
                    <w:t>Kalydeco</w:t>
                  </w:r>
                  <w:r w:rsidR="008C3BEE" w:rsidRPr="008C3BEE">
                    <w:rPr>
                      <w:rFonts w:cs="Tahoma"/>
                      <w:color w:val="00B0F0"/>
                      <w:szCs w:val="24"/>
                    </w:rPr>
                    <w:t>®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5" style="position:absolute;margin-left:665.95pt;margin-top:-8.7pt;width:95.35pt;height:93.9pt;z-index:251707392">
            <v:textbox style="mso-next-textbox:#_x0000_s1075">
              <w:txbxContent>
                <w:p w:rsidR="00F25898" w:rsidRDefault="00F25898" w:rsidP="00F25898">
                  <w:pPr>
                    <w:jc w:val="center"/>
                    <w:rPr>
                      <w:sz w:val="22"/>
                    </w:rPr>
                  </w:pPr>
                </w:p>
                <w:p w:rsidR="00F25898" w:rsidRPr="008C3BEE" w:rsidRDefault="00F25898" w:rsidP="00F25898">
                  <w:pPr>
                    <w:jc w:val="center"/>
                    <w:rPr>
                      <w:color w:val="00B0F0"/>
                      <w:sz w:val="22"/>
                    </w:rPr>
                  </w:pPr>
                  <w:r>
                    <w:rPr>
                      <w:sz w:val="22"/>
                    </w:rPr>
                    <w:t xml:space="preserve">Préparation à la greffe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5" style="position:absolute;margin-left:-5.55pt;margin-top:225.5pt;width:101.25pt;height:101pt;z-index:251667456">
            <v:textbox style="mso-next-textbox:#_x0000_s1035">
              <w:txbxContent>
                <w:p w:rsidR="002A7377" w:rsidRDefault="002A7377" w:rsidP="00052E01">
                  <w:pPr>
                    <w:jc w:val="center"/>
                    <w:rPr>
                      <w:sz w:val="22"/>
                    </w:rPr>
                  </w:pPr>
                </w:p>
                <w:p w:rsidR="00052E01" w:rsidRPr="0004150C" w:rsidRDefault="0004150C" w:rsidP="00052E0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Fé</w:t>
                  </w:r>
                  <w:r w:rsidRPr="0004150C">
                    <w:rPr>
                      <w:sz w:val="22"/>
                    </w:rPr>
                    <w:t xml:space="preserve">condité PMA </w:t>
                  </w:r>
                </w:p>
                <w:p w:rsidR="0004150C" w:rsidRPr="0004150C" w:rsidRDefault="00E44D9C" w:rsidP="00052E0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3" style="position:absolute;margin-left:75.05pt;margin-top:432.45pt;width:98.8pt;height:92.25pt;z-index:251696128">
            <v:textbox style="mso-next-textbox:#_x0000_s1063">
              <w:txbxContent>
                <w:p w:rsidR="00F25898" w:rsidRDefault="00F25898" w:rsidP="00CB676D">
                  <w:pPr>
                    <w:jc w:val="center"/>
                    <w:rPr>
                      <w:sz w:val="22"/>
                    </w:rPr>
                  </w:pPr>
                </w:p>
                <w:p w:rsidR="00CB676D" w:rsidRPr="0004150C" w:rsidRDefault="00CB676D" w:rsidP="00CB676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Nutrition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8" style="position:absolute;margin-left:12.05pt;margin-top:390.45pt;width:106.5pt;height:98.25pt;z-index:251688960">
            <v:textbox style="mso-next-textbox:#_x0000_s1058">
              <w:txbxContent>
                <w:p w:rsidR="00F25898" w:rsidRDefault="00F25898" w:rsidP="0004150C">
                  <w:pPr>
                    <w:jc w:val="center"/>
                    <w:rPr>
                      <w:sz w:val="22"/>
                    </w:rPr>
                  </w:pPr>
                </w:p>
                <w:p w:rsidR="0004150C" w:rsidRPr="0004150C" w:rsidRDefault="00CB676D" w:rsidP="0004150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Ostéoporose</w:t>
                  </w:r>
                  <w:r w:rsidR="006C6DE8">
                    <w:rPr>
                      <w:sz w:val="22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5" style="position:absolute;margin-left:346.95pt;margin-top:61.8pt;width:108pt;height:95.8pt;z-index:251709440">
            <v:textbox style="mso-next-textbox:#_x0000_s1065">
              <w:txbxContent>
                <w:p w:rsidR="00800DEE" w:rsidRDefault="00800DEE" w:rsidP="002A7377">
                  <w:pPr>
                    <w:jc w:val="center"/>
                  </w:pPr>
                  <w:r>
                    <w:t>Prise en charge de la douleur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2" style="position:absolute;margin-left:302.25pt;margin-top:-4.9pt;width:121.35pt;height:102.2pt;z-index:251695104">
            <v:textbox style="mso-next-textbox:#_x0000_s1062">
              <w:txbxContent>
                <w:p w:rsidR="009D3029" w:rsidRDefault="002A7377" w:rsidP="009D3029">
                  <w:r>
                    <w:t>Education thérapeutiqu</w:t>
                  </w:r>
                  <w:r w:rsidR="009D3029">
                    <w:t xml:space="preserve">e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6" style="position:absolute;margin-left:146.05pt;margin-top:6.85pt;width:172.2pt;height:150.75pt;z-index:251693056" fillcolor="#cff" strokeweight="3pt">
            <v:textbox style="mso-next-textbox:#_x0000_s1046">
              <w:txbxContent>
                <w:p w:rsidR="003376F4" w:rsidRPr="00C72736" w:rsidRDefault="003376F4" w:rsidP="003376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Recherche en sciences humaines et thérapies </w:t>
                  </w:r>
                  <w:r w:rsidRPr="00C72736">
                    <w:rPr>
                      <w:b/>
                    </w:rPr>
                    <w:t xml:space="preserve">ciblant la </w:t>
                  </w:r>
                  <w:r>
                    <w:rPr>
                      <w:b/>
                    </w:rPr>
                    <w:t xml:space="preserve">qualité de vie 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1" style="position:absolute;margin-left:79.55pt;margin-top:89.1pt;width:108pt;height:95.8pt;z-index:251704320">
            <v:textbox style="mso-next-textbox:#_x0000_s1051">
              <w:txbxContent>
                <w:p w:rsidR="00C674CF" w:rsidRDefault="00C674CF" w:rsidP="00EA0C9E"/>
                <w:p w:rsidR="00EA0C9E" w:rsidRDefault="00EA0C9E" w:rsidP="00EA0C9E">
                  <w:r>
                    <w:t xml:space="preserve">Psychologie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7" style="position:absolute;margin-left:227.55pt;margin-top:360.5pt;width:113.75pt;height:118.85pt;z-index:251687936">
            <v:textbox style="mso-next-textbox:#_x0000_s1057">
              <w:txbxContent>
                <w:p w:rsidR="00E14822" w:rsidRDefault="0004150C" w:rsidP="00E1482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Infection</w:t>
                  </w:r>
                  <w:r w:rsidR="006C6DE8">
                    <w:rPr>
                      <w:sz w:val="22"/>
                    </w:rPr>
                    <w:t xml:space="preserve"> : </w:t>
                  </w:r>
                </w:p>
                <w:p w:rsidR="0004150C" w:rsidRPr="0004150C" w:rsidRDefault="00E14822" w:rsidP="0004150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Antibiotiques</w:t>
                  </w:r>
                  <w:r w:rsidR="0020454F">
                    <w:rPr>
                      <w:sz w:val="22"/>
                    </w:rPr>
                    <w:t>,</w:t>
                  </w:r>
                  <w:r w:rsidR="007A406E">
                    <w:rPr>
                      <w:sz w:val="22"/>
                    </w:rPr>
                    <w:t xml:space="preserve"> P</w:t>
                  </w:r>
                  <w:r w:rsidR="0025290C">
                    <w:rPr>
                      <w:sz w:val="22"/>
                    </w:rPr>
                    <w:t>hages…</w:t>
                  </w:r>
                  <w:r w:rsidR="0004150C">
                    <w:rPr>
                      <w:sz w:val="22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6" style="position:absolute;margin-left:123.8pt;margin-top:318.55pt;width:126.75pt;height:121.1pt;z-index:251686912">
            <v:textbox style="mso-next-textbox:#_x0000_s1056">
              <w:txbxContent>
                <w:p w:rsidR="0004150C" w:rsidRPr="0004150C" w:rsidRDefault="0025290C" w:rsidP="006C6DE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Diabète</w:t>
                  </w:r>
                  <w:r w:rsidR="006C6DE8">
                    <w:rPr>
                      <w:sz w:val="22"/>
                    </w:rPr>
                    <w:t xml:space="preserve"> : </w:t>
                  </w:r>
                  <w:r w:rsidR="00DA689C">
                    <w:rPr>
                      <w:sz w:val="22"/>
                    </w:rPr>
                    <w:t>Dépistage précoce T</w:t>
                  </w:r>
                  <w:r w:rsidR="006C6DE8">
                    <w:rPr>
                      <w:sz w:val="22"/>
                    </w:rPr>
                    <w:t xml:space="preserve">raitement et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4" style="position:absolute;margin-left:23.85pt;margin-top:297.45pt;width:104.05pt;height:105pt;z-index:251684864">
            <v:textbox style="mso-next-textbox:#_x0000_s1054">
              <w:txbxContent>
                <w:p w:rsidR="00E804BB" w:rsidRDefault="00E804BB" w:rsidP="0004150C">
                  <w:pPr>
                    <w:jc w:val="center"/>
                    <w:rPr>
                      <w:sz w:val="22"/>
                    </w:rPr>
                  </w:pPr>
                </w:p>
                <w:p w:rsidR="0004150C" w:rsidRPr="0004150C" w:rsidRDefault="00E72EAB" w:rsidP="00E804B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Microbiote :</w:t>
                  </w:r>
                  <w:r w:rsidR="00DA689C">
                    <w:rPr>
                      <w:sz w:val="22"/>
                    </w:rPr>
                    <w:t xml:space="preserve"> B</w:t>
                  </w:r>
                  <w:r>
                    <w:rPr>
                      <w:sz w:val="22"/>
                    </w:rPr>
                    <w:t xml:space="preserve">actéries intestinales </w:t>
                  </w:r>
                  <w:r w:rsidR="00E804BB">
                    <w:rPr>
                      <w:sz w:val="22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044" style="position:absolute;margin-left:318.25pt;margin-top:226.2pt;width:201.4pt;height:98.9pt;z-index:251674624" fillcolor="#6ff" strokeweight="3pt">
            <v:textbox style="mso-next-textbox:#_x0000_s1044">
              <w:txbxContent>
                <w:p w:rsidR="00C72736" w:rsidRPr="00FF3BFF" w:rsidRDefault="00C72736" w:rsidP="00C72736">
                  <w:pPr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8C3BEE" w:rsidRPr="00FF3BFF" w:rsidRDefault="008C3BEE" w:rsidP="00C72736">
                  <w:pPr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FF3BFF">
                    <w:rPr>
                      <w:b/>
                      <w:iCs/>
                      <w:sz w:val="28"/>
                      <w:szCs w:val="28"/>
                    </w:rPr>
                    <w:t>Les grands ax</w:t>
                  </w:r>
                  <w:r w:rsidR="000E6B61">
                    <w:rPr>
                      <w:b/>
                      <w:iCs/>
                      <w:sz w:val="28"/>
                      <w:szCs w:val="28"/>
                    </w:rPr>
                    <w:t>es de la recherche et des avancée</w:t>
                  </w:r>
                  <w:r w:rsidRPr="00FF3BFF">
                    <w:rPr>
                      <w:b/>
                      <w:iCs/>
                      <w:sz w:val="28"/>
                      <w:szCs w:val="28"/>
                    </w:rPr>
                    <w:t>s thérapeutiques</w:t>
                  </w:r>
                </w:p>
                <w:p w:rsidR="00C72736" w:rsidRDefault="00C72736" w:rsidP="00C72736">
                  <w:pPr>
                    <w:jc w:val="center"/>
                    <w:rPr>
                      <w:b/>
                      <w:iCs/>
                      <w:color w:val="808080" w:themeColor="text1" w:themeTint="7F"/>
                      <w:sz w:val="28"/>
                      <w:szCs w:val="28"/>
                    </w:rPr>
                  </w:pPr>
                </w:p>
                <w:p w:rsidR="00C72736" w:rsidRPr="008C3BEE" w:rsidRDefault="00C72736" w:rsidP="00C72736">
                  <w:pPr>
                    <w:jc w:val="center"/>
                    <w:rPr>
                      <w:b/>
                      <w:iCs/>
                      <w:color w:val="808080" w:themeColor="text1" w:themeTint="7F"/>
                      <w:sz w:val="28"/>
                      <w:szCs w:val="28"/>
                    </w:rPr>
                  </w:pPr>
                </w:p>
                <w:p w:rsidR="008C3BEE" w:rsidRDefault="008C3BEE"/>
              </w:txbxContent>
            </v:textbox>
          </v:rect>
        </w:pict>
      </w:r>
    </w:p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77E5" w:rsidP="00365FE0">
      <w:r>
        <w:rPr>
          <w:noProof/>
          <w:lang w:eastAsia="fr-FR"/>
        </w:rPr>
        <w:pict>
          <v:shape id="_x0000_s1034" type="#_x0000_t32" style="position:absolute;margin-left:273.85pt;margin-top:7.7pt;width:39pt;height:63.05pt;flip:x y;z-index:251666432" o:connectortype="straight" strokeweight="4pt">
            <v:stroke endarrow="block"/>
          </v:shape>
        </w:pict>
      </w:r>
    </w:p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5FE0" w:rsidP="00365FE0"/>
    <w:p w:rsidR="00365FE0" w:rsidRPr="00365FE0" w:rsidRDefault="003677E5" w:rsidP="00365FE0">
      <w:r>
        <w:rPr>
          <w:noProof/>
          <w:lang w:eastAsia="fr-FR"/>
        </w:rPr>
        <w:pict>
          <v:oval id="_x0000_s1055" style="position:absolute;margin-left:159.3pt;margin-top:16.05pt;width:114.55pt;height:88.5pt;z-index:251685888">
            <v:textbox style="mso-next-textbox:#_x0000_s1055">
              <w:txbxContent>
                <w:p w:rsidR="00E14822" w:rsidRDefault="00E14822" w:rsidP="00E14822">
                  <w:pPr>
                    <w:jc w:val="center"/>
                    <w:rPr>
                      <w:sz w:val="22"/>
                    </w:rPr>
                  </w:pPr>
                </w:p>
                <w:p w:rsidR="0004150C" w:rsidRPr="00E14822" w:rsidRDefault="00E14822" w:rsidP="00E14822">
                  <w:r>
                    <w:rPr>
                      <w:sz w:val="22"/>
                    </w:rPr>
                    <w:t>Inflammation </w:t>
                  </w:r>
                </w:p>
              </w:txbxContent>
            </v:textbox>
          </v:oval>
        </w:pict>
      </w:r>
    </w:p>
    <w:p w:rsidR="00365FE0" w:rsidRPr="00365FE0" w:rsidRDefault="00365FE0" w:rsidP="00365FE0"/>
    <w:p w:rsidR="00365FE0" w:rsidRPr="00365FE0" w:rsidRDefault="003677E5" w:rsidP="00365FE0">
      <w:r>
        <w:rPr>
          <w:noProof/>
          <w:lang w:eastAsia="fr-FR"/>
        </w:rPr>
        <w:pict>
          <v:oval id="_x0000_s1064" style="position:absolute;margin-left:295.75pt;margin-top:-.3pt;width:66.55pt;height:60.25pt;z-index:251653112" filled="f" fillcolor="yellow">
            <v:textbox style="mso-next-textbox:#_x0000_s1064">
              <w:txbxContent>
                <w:p w:rsidR="00CB676D" w:rsidRPr="0004150C" w:rsidRDefault="00CB676D" w:rsidP="00CB676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…</w:t>
                  </w:r>
                </w:p>
              </w:txbxContent>
            </v:textbox>
          </v:oval>
        </w:pict>
      </w:r>
    </w:p>
    <w:p w:rsidR="00365FE0" w:rsidRPr="00365FE0" w:rsidRDefault="00365FE0" w:rsidP="00365FE0"/>
    <w:p w:rsidR="00C07627" w:rsidRDefault="00365FE0" w:rsidP="00365FE0">
      <w:pPr>
        <w:tabs>
          <w:tab w:val="left" w:pos="5925"/>
        </w:tabs>
      </w:pPr>
      <w:r>
        <w:tab/>
      </w:r>
    </w:p>
    <w:p w:rsidR="00C07627" w:rsidRDefault="00C07627" w:rsidP="00365FE0">
      <w:pPr>
        <w:tabs>
          <w:tab w:val="left" w:pos="5925"/>
        </w:tabs>
      </w:pPr>
    </w:p>
    <w:p w:rsidR="00C07627" w:rsidRDefault="00C07627" w:rsidP="00365FE0">
      <w:pPr>
        <w:tabs>
          <w:tab w:val="left" w:pos="5925"/>
        </w:tabs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77470</wp:posOffset>
            </wp:positionV>
            <wp:extent cx="1009650" cy="466725"/>
            <wp:effectExtent l="19050" t="0" r="0" b="0"/>
            <wp:wrapSquare wrapText="bothSides"/>
            <wp:docPr id="1" name="Imag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B2E" w:rsidRPr="00E37AE0" w:rsidRDefault="00365FE0" w:rsidP="00365FE0">
      <w:pPr>
        <w:tabs>
          <w:tab w:val="left" w:pos="5925"/>
        </w:tabs>
        <w:rPr>
          <w:sz w:val="20"/>
          <w:szCs w:val="20"/>
        </w:rPr>
      </w:pPr>
      <w:r w:rsidRPr="00E37AE0">
        <w:rPr>
          <w:sz w:val="20"/>
          <w:szCs w:val="20"/>
        </w:rPr>
        <w:t>Groupe des infirmières coordinatrices du RMO juin 2016</w:t>
      </w:r>
    </w:p>
    <w:sectPr w:rsidR="00742B2E" w:rsidRPr="00E37AE0" w:rsidSect="00167567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AB" w:rsidRDefault="00BB65AB" w:rsidP="00742B2E">
      <w:pPr>
        <w:spacing w:line="240" w:lineRule="auto"/>
      </w:pPr>
      <w:r>
        <w:separator/>
      </w:r>
    </w:p>
  </w:endnote>
  <w:endnote w:type="continuationSeparator" w:id="0">
    <w:p w:rsidR="00BB65AB" w:rsidRDefault="00BB65AB" w:rsidP="00742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AB" w:rsidRDefault="00BB65AB" w:rsidP="00742B2E">
      <w:pPr>
        <w:spacing w:line="240" w:lineRule="auto"/>
      </w:pPr>
      <w:r>
        <w:separator/>
      </w:r>
    </w:p>
  </w:footnote>
  <w:footnote w:type="continuationSeparator" w:id="0">
    <w:p w:rsidR="00BB65AB" w:rsidRDefault="00BB65AB" w:rsidP="00742B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B45"/>
    <w:rsid w:val="000139D3"/>
    <w:rsid w:val="0002558B"/>
    <w:rsid w:val="0004150C"/>
    <w:rsid w:val="00052E01"/>
    <w:rsid w:val="00095FCD"/>
    <w:rsid w:val="000B3739"/>
    <w:rsid w:val="000C6A51"/>
    <w:rsid w:val="000E6B61"/>
    <w:rsid w:val="001104B0"/>
    <w:rsid w:val="00124B6F"/>
    <w:rsid w:val="00167567"/>
    <w:rsid w:val="001E6EE3"/>
    <w:rsid w:val="0020454F"/>
    <w:rsid w:val="00215EC2"/>
    <w:rsid w:val="0025290C"/>
    <w:rsid w:val="002A7377"/>
    <w:rsid w:val="002E2711"/>
    <w:rsid w:val="003376F4"/>
    <w:rsid w:val="003477AF"/>
    <w:rsid w:val="003578CE"/>
    <w:rsid w:val="00360011"/>
    <w:rsid w:val="00365FE0"/>
    <w:rsid w:val="003677E5"/>
    <w:rsid w:val="003B1C6B"/>
    <w:rsid w:val="003F71D4"/>
    <w:rsid w:val="004B0A7E"/>
    <w:rsid w:val="004B5FE4"/>
    <w:rsid w:val="00527AFE"/>
    <w:rsid w:val="005B3D12"/>
    <w:rsid w:val="00603B77"/>
    <w:rsid w:val="00605D48"/>
    <w:rsid w:val="00642B32"/>
    <w:rsid w:val="00663434"/>
    <w:rsid w:val="006C6DE8"/>
    <w:rsid w:val="0071595C"/>
    <w:rsid w:val="00725E4F"/>
    <w:rsid w:val="00742B2E"/>
    <w:rsid w:val="007A406E"/>
    <w:rsid w:val="007E3693"/>
    <w:rsid w:val="00800DEE"/>
    <w:rsid w:val="0088095B"/>
    <w:rsid w:val="008C3BEE"/>
    <w:rsid w:val="008E3B2D"/>
    <w:rsid w:val="008E6D3C"/>
    <w:rsid w:val="009856BF"/>
    <w:rsid w:val="009D3029"/>
    <w:rsid w:val="009D4B56"/>
    <w:rsid w:val="00A16C57"/>
    <w:rsid w:val="00BA475F"/>
    <w:rsid w:val="00BB65AB"/>
    <w:rsid w:val="00BC67AF"/>
    <w:rsid w:val="00BF3AB7"/>
    <w:rsid w:val="00C07627"/>
    <w:rsid w:val="00C35ECA"/>
    <w:rsid w:val="00C55C42"/>
    <w:rsid w:val="00C674CF"/>
    <w:rsid w:val="00C70F26"/>
    <w:rsid w:val="00C72736"/>
    <w:rsid w:val="00CB676D"/>
    <w:rsid w:val="00CD6E70"/>
    <w:rsid w:val="00D455BF"/>
    <w:rsid w:val="00D97608"/>
    <w:rsid w:val="00DA689C"/>
    <w:rsid w:val="00DC3B45"/>
    <w:rsid w:val="00DE14AD"/>
    <w:rsid w:val="00DF4474"/>
    <w:rsid w:val="00E14822"/>
    <w:rsid w:val="00E37AE0"/>
    <w:rsid w:val="00E44D9C"/>
    <w:rsid w:val="00E60825"/>
    <w:rsid w:val="00E72EAB"/>
    <w:rsid w:val="00E804BB"/>
    <w:rsid w:val="00EA0C9E"/>
    <w:rsid w:val="00EC4FB8"/>
    <w:rsid w:val="00F25898"/>
    <w:rsid w:val="00F42F2F"/>
    <w:rsid w:val="00F61225"/>
    <w:rsid w:val="00F944CB"/>
    <w:rsid w:val="00FC30A0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8"/>
        <o:r id="V:Rule6" type="connector" idref="#_x0000_s1069"/>
        <o:r id="V:Rule7" type="connector" idref="#_x0000_s1034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B45"/>
    <w:pPr>
      <w:spacing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45"/>
    <w:rPr>
      <w:rFonts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42B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2B2E"/>
  </w:style>
  <w:style w:type="paragraph" w:styleId="Pieddepage">
    <w:name w:val="footer"/>
    <w:basedOn w:val="Normal"/>
    <w:link w:val="PieddepageCar"/>
    <w:uiPriority w:val="99"/>
    <w:semiHidden/>
    <w:unhideWhenUsed/>
    <w:rsid w:val="00742B2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D10F-E65F-4DA7-9E4D-FA451E81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mtkerbrat</dc:creator>
  <cp:keywords/>
  <dc:description/>
  <cp:lastModifiedBy>mtkerbrat</cp:lastModifiedBy>
  <cp:revision>66</cp:revision>
  <cp:lastPrinted>2016-04-20T08:50:00Z</cp:lastPrinted>
  <dcterms:created xsi:type="dcterms:W3CDTF">2016-04-20T06:27:00Z</dcterms:created>
  <dcterms:modified xsi:type="dcterms:W3CDTF">2016-09-06T06:34:00Z</dcterms:modified>
</cp:coreProperties>
</file>